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C8A" w:rsidRPr="00A45D68" w:rsidRDefault="00FF0C8A" w:rsidP="007233A6">
      <w:pPr>
        <w:ind w:left="0" w:firstLine="0"/>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 xml:space="preserve">Invitation to Tender  </w:t>
      </w:r>
    </w:p>
    <w:p w:rsidR="00FF0C8A" w:rsidRPr="00A45D68" w:rsidRDefault="000E2F10" w:rsidP="00FF0C8A">
      <w:pPr>
        <w:ind w:left="-5"/>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Age Positive</w:t>
      </w:r>
      <w:r w:rsidR="00FC7CA0" w:rsidRPr="00A45D68">
        <w:rPr>
          <w:rFonts w:ascii="TitilliumRegular" w:eastAsia="Times New Roman" w:hAnsi="TitilliumRegular" w:cs="Times New Roman"/>
          <w:b/>
          <w:color w:val="333C4E"/>
          <w:sz w:val="24"/>
          <w:szCs w:val="24"/>
        </w:rPr>
        <w:t xml:space="preserve"> Project External Evaluation</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b/>
          <w:color w:val="333C4E"/>
          <w:sz w:val="24"/>
          <w:szCs w:val="24"/>
        </w:rPr>
        <w:t>Project Name:</w:t>
      </w:r>
      <w:r w:rsidRPr="00A45D68">
        <w:rPr>
          <w:rFonts w:ascii="TitilliumRegular" w:eastAsia="Times New Roman" w:hAnsi="TitilliumRegular" w:cs="Times New Roman"/>
          <w:color w:val="333C4E"/>
          <w:sz w:val="24"/>
          <w:szCs w:val="24"/>
        </w:rPr>
        <w:t xml:space="preserve"> </w:t>
      </w:r>
      <w:r w:rsidR="000E2F10" w:rsidRPr="00A45D68">
        <w:rPr>
          <w:rFonts w:ascii="TitilliumRegular" w:eastAsia="Times New Roman" w:hAnsi="TitilliumRegular" w:cs="Times New Roman"/>
          <w:color w:val="333C4E"/>
          <w:sz w:val="24"/>
          <w:szCs w:val="24"/>
        </w:rPr>
        <w:t>Age Positive</w:t>
      </w:r>
      <w:r w:rsidRPr="00A45D68">
        <w:rPr>
          <w:rFonts w:ascii="TitilliumRegular" w:eastAsia="Times New Roman" w:hAnsi="TitilliumRegular" w:cs="Times New Roman"/>
          <w:color w:val="333C4E"/>
          <w:sz w:val="24"/>
          <w:szCs w:val="24"/>
        </w:rPr>
        <w:t xml:space="preserve"> </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pStyle w:val="Heading1"/>
        <w:ind w:left="-5"/>
        <w:rPr>
          <w:rFonts w:ascii="TitilliumRegular" w:eastAsia="Times New Roman" w:hAnsi="TitilliumRegular" w:cs="Times New Roman"/>
          <w:b w:val="0"/>
          <w:color w:val="333C4E"/>
          <w:sz w:val="24"/>
          <w:szCs w:val="24"/>
        </w:rPr>
      </w:pPr>
      <w:r w:rsidRPr="00A45D68">
        <w:rPr>
          <w:rFonts w:ascii="TitilliumRegular" w:eastAsia="Times New Roman" w:hAnsi="TitilliumRegular" w:cs="Times New Roman"/>
          <w:color w:val="333C4E"/>
          <w:sz w:val="24"/>
          <w:szCs w:val="24"/>
        </w:rPr>
        <w:t>Commissioning Organisation:</w:t>
      </w:r>
      <w:r w:rsidRPr="00A45D68">
        <w:rPr>
          <w:rFonts w:ascii="TitilliumRegular" w:eastAsia="Times New Roman" w:hAnsi="TitilliumRegular" w:cs="Times New Roman"/>
          <w:b w:val="0"/>
          <w:color w:val="333C4E"/>
          <w:sz w:val="24"/>
          <w:szCs w:val="24"/>
        </w:rPr>
        <w:t xml:space="preserve"> George House Trust </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b/>
          <w:color w:val="333C4E"/>
          <w:sz w:val="24"/>
          <w:szCs w:val="24"/>
        </w:rPr>
        <w:t>Project Duration:</w:t>
      </w:r>
      <w:r w:rsidRPr="00A45D68">
        <w:rPr>
          <w:rFonts w:ascii="TitilliumRegular" w:eastAsia="Times New Roman" w:hAnsi="TitilliumRegular" w:cs="Times New Roman"/>
          <w:color w:val="333C4E"/>
          <w:sz w:val="24"/>
          <w:szCs w:val="24"/>
        </w:rPr>
        <w:t xml:space="preserve"> </w:t>
      </w:r>
      <w:r w:rsidR="00FF0C8A" w:rsidRPr="00A45D68">
        <w:rPr>
          <w:rFonts w:ascii="TitilliumRegular" w:eastAsia="Times New Roman" w:hAnsi="TitilliumRegular" w:cs="Times New Roman"/>
          <w:color w:val="333C4E"/>
          <w:sz w:val="24"/>
          <w:szCs w:val="24"/>
        </w:rPr>
        <w:t xml:space="preserve">June </w:t>
      </w:r>
      <w:r w:rsidR="000E2F10" w:rsidRPr="00A45D68">
        <w:rPr>
          <w:rFonts w:ascii="TitilliumRegular" w:eastAsia="Times New Roman" w:hAnsi="TitilliumRegular" w:cs="Times New Roman"/>
          <w:color w:val="333C4E"/>
          <w:sz w:val="24"/>
          <w:szCs w:val="24"/>
        </w:rPr>
        <w:t>2021- June 2022</w:t>
      </w:r>
      <w:r w:rsidRPr="00A45D68">
        <w:rPr>
          <w:rFonts w:ascii="TitilliumRegular" w:eastAsia="Times New Roman" w:hAnsi="TitilliumRegular" w:cs="Times New Roman"/>
          <w:color w:val="333C4E"/>
          <w:sz w:val="24"/>
          <w:szCs w:val="24"/>
        </w:rPr>
        <w:t xml:space="preserve"> </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b/>
          <w:color w:val="333C4E"/>
          <w:sz w:val="24"/>
          <w:szCs w:val="24"/>
        </w:rPr>
        <w:t>Contract Term:</w:t>
      </w:r>
      <w:r w:rsidRPr="00A45D68">
        <w:rPr>
          <w:rFonts w:ascii="TitilliumRegular" w:eastAsia="Times New Roman" w:hAnsi="TitilliumRegular" w:cs="Times New Roman"/>
          <w:color w:val="333C4E"/>
          <w:sz w:val="24"/>
          <w:szCs w:val="24"/>
        </w:rPr>
        <w:t xml:space="preserve"> </w:t>
      </w:r>
      <w:r w:rsidR="000E2F10" w:rsidRPr="00A45D68">
        <w:rPr>
          <w:rFonts w:ascii="TitilliumRegular" w:eastAsia="Times New Roman" w:hAnsi="TitilliumRegular" w:cs="Times New Roman"/>
          <w:color w:val="333C4E"/>
          <w:sz w:val="24"/>
          <w:szCs w:val="24"/>
        </w:rPr>
        <w:t>June 2021 – June 2022</w:t>
      </w:r>
      <w:r w:rsidRPr="00A45D68">
        <w:rPr>
          <w:rFonts w:ascii="TitilliumRegular" w:eastAsia="Times New Roman" w:hAnsi="TitilliumRegular" w:cs="Times New Roman"/>
          <w:color w:val="333C4E"/>
          <w:sz w:val="24"/>
          <w:szCs w:val="24"/>
        </w:rPr>
        <w:t xml:space="preserve"> </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b/>
          <w:color w:val="333C4E"/>
          <w:sz w:val="24"/>
          <w:szCs w:val="24"/>
        </w:rPr>
        <w:t>Contract Value:</w:t>
      </w:r>
      <w:r w:rsidRPr="00A45D68">
        <w:rPr>
          <w:rFonts w:ascii="TitilliumRegular" w:eastAsia="Times New Roman" w:hAnsi="TitilliumRegular" w:cs="Times New Roman"/>
          <w:color w:val="333C4E"/>
          <w:sz w:val="24"/>
          <w:szCs w:val="24"/>
        </w:rPr>
        <w:t xml:space="preserve"> £</w:t>
      </w:r>
      <w:r w:rsidR="00FF0C8A" w:rsidRPr="00A45D68">
        <w:rPr>
          <w:rFonts w:ascii="TitilliumRegular" w:eastAsia="Times New Roman" w:hAnsi="TitilliumRegular" w:cs="Times New Roman"/>
          <w:color w:val="333C4E"/>
          <w:sz w:val="24"/>
          <w:szCs w:val="24"/>
        </w:rPr>
        <w:t>1,800</w:t>
      </w:r>
      <w:r w:rsidRPr="00A45D68">
        <w:rPr>
          <w:rFonts w:ascii="TitilliumRegular" w:eastAsia="Times New Roman" w:hAnsi="TitilliumRegular" w:cs="Times New Roman"/>
          <w:color w:val="333C4E"/>
          <w:sz w:val="24"/>
          <w:szCs w:val="24"/>
        </w:rPr>
        <w:t xml:space="preserve"> </w:t>
      </w:r>
      <w:r w:rsidR="0067344A" w:rsidRPr="00A45D68">
        <w:rPr>
          <w:rFonts w:ascii="TitilliumRegular" w:eastAsia="Times New Roman" w:hAnsi="TitilliumRegular" w:cs="Times New Roman"/>
          <w:color w:val="333C4E"/>
          <w:sz w:val="24"/>
          <w:szCs w:val="24"/>
        </w:rPr>
        <w:t>for the year</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b/>
          <w:color w:val="333C4E"/>
          <w:sz w:val="24"/>
          <w:szCs w:val="24"/>
        </w:rPr>
        <w:t>Contract Type:</w:t>
      </w:r>
      <w:r w:rsidRPr="00A45D68">
        <w:rPr>
          <w:rFonts w:ascii="TitilliumRegular" w:eastAsia="Times New Roman" w:hAnsi="TitilliumRegular" w:cs="Times New Roman"/>
          <w:color w:val="333C4E"/>
          <w:sz w:val="24"/>
          <w:szCs w:val="24"/>
        </w:rPr>
        <w:t xml:space="preserve"> Self-employed contractor, engaged on a ‘contract for services’ basis </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FF0C8A" w:rsidRDefault="00FC7CA0" w:rsidP="004877F8">
      <w:pPr>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b/>
          <w:color w:val="333C4E"/>
          <w:sz w:val="24"/>
          <w:szCs w:val="24"/>
        </w:rPr>
        <w:t>Location:</w:t>
      </w:r>
      <w:r w:rsidRPr="00A45D68">
        <w:rPr>
          <w:rFonts w:ascii="TitilliumRegular" w:eastAsia="Times New Roman" w:hAnsi="TitilliumRegular" w:cs="Times New Roman"/>
          <w:color w:val="333C4E"/>
          <w:sz w:val="24"/>
          <w:szCs w:val="24"/>
        </w:rPr>
        <w:t xml:space="preserve"> Greater Manchester </w:t>
      </w:r>
    </w:p>
    <w:p w:rsidR="004877F8" w:rsidRPr="00A45D68" w:rsidRDefault="004877F8" w:rsidP="004877F8">
      <w:pPr>
        <w:ind w:left="-5"/>
        <w:rPr>
          <w:rFonts w:ascii="TitilliumRegular" w:eastAsia="Times New Roman" w:hAnsi="TitilliumRegular" w:cs="Times New Roman"/>
          <w:color w:val="333C4E"/>
          <w:sz w:val="24"/>
          <w:szCs w:val="24"/>
        </w:rPr>
      </w:pPr>
    </w:p>
    <w:p w:rsidR="00FF0C8A" w:rsidRPr="00A45D68" w:rsidRDefault="00FF0C8A" w:rsidP="00FF0C8A">
      <w:pPr>
        <w:pStyle w:val="Heading1"/>
        <w:spacing w:before="120"/>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Evaluation Overview </w:t>
      </w:r>
    </w:p>
    <w:p w:rsidR="00FF0C8A" w:rsidRPr="00A45D68" w:rsidRDefault="00FF0C8A" w:rsidP="00FF0C8A">
      <w:pPr>
        <w:spacing w:before="120" w:after="111"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George House Trust wishes to work with an external evaluator to provide</w:t>
      </w:r>
      <w:r w:rsidR="00DE35EE" w:rsidRPr="00A45D68">
        <w:rPr>
          <w:rFonts w:ascii="TitilliumRegular" w:eastAsia="Times New Roman" w:hAnsi="TitilliumRegular" w:cs="Times New Roman"/>
          <w:color w:val="333C4E"/>
          <w:sz w:val="24"/>
          <w:szCs w:val="24"/>
        </w:rPr>
        <w:t xml:space="preserve"> an</w:t>
      </w:r>
      <w:r w:rsidRPr="00A45D68">
        <w:rPr>
          <w:rFonts w:ascii="TitilliumRegular" w:eastAsia="Times New Roman" w:hAnsi="TitilliumRegular" w:cs="Times New Roman"/>
          <w:color w:val="333C4E"/>
          <w:sz w:val="24"/>
          <w:szCs w:val="24"/>
        </w:rPr>
        <w:t xml:space="preserve"> in-depth analysis of our Age Positive project.   </w:t>
      </w:r>
    </w:p>
    <w:p w:rsidR="00FF0C8A" w:rsidRPr="00A45D68" w:rsidRDefault="00FF0C8A" w:rsidP="00FF0C8A">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FF0C8A" w:rsidRPr="00A45D68" w:rsidRDefault="00FF0C8A" w:rsidP="00FF0C8A">
      <w:pPr>
        <w:spacing w:after="137"/>
        <w:ind w:left="-5"/>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 xml:space="preserve">We want the evaluation to:  </w:t>
      </w:r>
    </w:p>
    <w:p w:rsidR="00FF0C8A" w:rsidRPr="00A45D68" w:rsidRDefault="007233A6" w:rsidP="00FF0C8A">
      <w:pPr>
        <w:pStyle w:val="ListParagraph"/>
        <w:numPr>
          <w:ilvl w:val="0"/>
          <w:numId w:val="15"/>
        </w:numPr>
        <w:spacing w:after="31" w:line="240" w:lineRule="auto"/>
        <w:ind w:left="709"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E</w:t>
      </w:r>
      <w:r w:rsidR="00FF0C8A" w:rsidRPr="00A45D68">
        <w:rPr>
          <w:rFonts w:ascii="TitilliumRegular" w:eastAsia="Times New Roman" w:hAnsi="TitilliumRegular" w:cs="Times New Roman"/>
          <w:color w:val="333C4E"/>
          <w:sz w:val="24"/>
          <w:szCs w:val="24"/>
          <w:lang w:eastAsia="en-GB"/>
        </w:rPr>
        <w:t xml:space="preserve">vidence the direct and indirect benefits of providing the Age Positive project for older people living with HIV </w:t>
      </w:r>
    </w:p>
    <w:p w:rsidR="00FF0C8A" w:rsidRPr="00A45D68" w:rsidRDefault="007233A6" w:rsidP="00FF0C8A">
      <w:pPr>
        <w:pStyle w:val="ListParagraph"/>
        <w:numPr>
          <w:ilvl w:val="0"/>
          <w:numId w:val="15"/>
        </w:numPr>
        <w:spacing w:after="149" w:line="240" w:lineRule="auto"/>
        <w:ind w:left="709"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I</w:t>
      </w:r>
      <w:r w:rsidR="00FF0C8A" w:rsidRPr="00A45D68">
        <w:rPr>
          <w:rFonts w:ascii="TitilliumRegular" w:eastAsia="Times New Roman" w:hAnsi="TitilliumRegular" w:cs="Times New Roman"/>
          <w:color w:val="333C4E"/>
          <w:sz w:val="24"/>
          <w:szCs w:val="24"/>
          <w:lang w:eastAsia="en-GB"/>
        </w:rPr>
        <w:t>nform future service provision within George House Trust</w:t>
      </w:r>
    </w:p>
    <w:p w:rsidR="00FF0C8A" w:rsidRPr="00A45D68" w:rsidRDefault="007233A6" w:rsidP="00FF0C8A">
      <w:pPr>
        <w:pStyle w:val="ListParagraph"/>
        <w:numPr>
          <w:ilvl w:val="0"/>
          <w:numId w:val="15"/>
        </w:numPr>
        <w:spacing w:after="0" w:line="240" w:lineRule="auto"/>
        <w:ind w:left="709"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D</w:t>
      </w:r>
      <w:r w:rsidR="00FF0C8A" w:rsidRPr="00A45D68">
        <w:rPr>
          <w:rFonts w:ascii="TitilliumRegular" w:eastAsia="Times New Roman" w:hAnsi="TitilliumRegular" w:cs="Times New Roman"/>
          <w:color w:val="333C4E"/>
          <w:sz w:val="24"/>
          <w:szCs w:val="24"/>
          <w:lang w:eastAsia="en-GB"/>
        </w:rPr>
        <w:t>emonstrate the impact of George House Trust providing the Age Positive service</w:t>
      </w:r>
    </w:p>
    <w:p w:rsidR="00BF4B21" w:rsidRPr="00A45D68" w:rsidRDefault="007233A6" w:rsidP="00FF0C8A">
      <w:pPr>
        <w:pStyle w:val="ListParagraph"/>
        <w:numPr>
          <w:ilvl w:val="0"/>
          <w:numId w:val="15"/>
        </w:numPr>
        <w:spacing w:after="281" w:line="240" w:lineRule="auto"/>
        <w:ind w:left="709"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S</w:t>
      </w:r>
      <w:r w:rsidR="00FF0C8A" w:rsidRPr="00A45D68">
        <w:rPr>
          <w:rFonts w:ascii="TitilliumRegular" w:eastAsia="Times New Roman" w:hAnsi="TitilliumRegular" w:cs="Times New Roman"/>
          <w:color w:val="333C4E"/>
          <w:sz w:val="24"/>
          <w:szCs w:val="24"/>
          <w:lang w:eastAsia="en-GB"/>
        </w:rPr>
        <w:t>trengthen our chances of securing future funding as well as attracting new partners</w:t>
      </w:r>
    </w:p>
    <w:p w:rsidR="00FF0C8A" w:rsidRPr="00A45D68" w:rsidRDefault="00FF0C8A" w:rsidP="00FF0C8A">
      <w:pPr>
        <w:pStyle w:val="ListParagraph"/>
        <w:spacing w:after="281" w:line="240" w:lineRule="auto"/>
        <w:ind w:left="709"/>
        <w:rPr>
          <w:rFonts w:ascii="TitilliumRegular" w:eastAsia="Times New Roman" w:hAnsi="TitilliumRegular" w:cs="Times New Roman"/>
          <w:color w:val="333C4E"/>
          <w:sz w:val="24"/>
          <w:szCs w:val="24"/>
          <w:lang w:eastAsia="en-GB"/>
        </w:rPr>
      </w:pPr>
    </w:p>
    <w:p w:rsidR="00BF4B21" w:rsidRPr="00A45D68" w:rsidRDefault="00FC7CA0" w:rsidP="00FF0C8A">
      <w:pPr>
        <w:pStyle w:val="Heading1"/>
        <w:spacing w:before="120"/>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About the Project </w:t>
      </w:r>
    </w:p>
    <w:p w:rsidR="000E2F10" w:rsidRPr="00A45D68" w:rsidRDefault="000E2F10" w:rsidP="00FF0C8A">
      <w:pPr>
        <w:spacing w:before="120"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Age Positive is a year-long</w:t>
      </w:r>
      <w:r w:rsidR="00FC7CA0" w:rsidRPr="00A45D68">
        <w:rPr>
          <w:rFonts w:ascii="TitilliumRegular" w:eastAsia="Times New Roman" w:hAnsi="TitilliumRegular" w:cs="Times New Roman"/>
          <w:color w:val="333C4E"/>
          <w:sz w:val="24"/>
          <w:szCs w:val="24"/>
        </w:rPr>
        <w:t xml:space="preserve"> project, </w:t>
      </w:r>
      <w:r w:rsidR="00FF0C8A" w:rsidRPr="00A45D68">
        <w:rPr>
          <w:rFonts w:ascii="TitilliumRegular" w:eastAsia="Times New Roman" w:hAnsi="TitilliumRegular" w:cs="Times New Roman"/>
          <w:color w:val="333C4E"/>
          <w:sz w:val="24"/>
          <w:szCs w:val="24"/>
        </w:rPr>
        <w:t>part-</w:t>
      </w:r>
      <w:r w:rsidR="00FC7CA0" w:rsidRPr="00A45D68">
        <w:rPr>
          <w:rFonts w:ascii="TitilliumRegular" w:eastAsia="Times New Roman" w:hAnsi="TitilliumRegular" w:cs="Times New Roman"/>
          <w:color w:val="333C4E"/>
          <w:sz w:val="24"/>
          <w:szCs w:val="24"/>
        </w:rPr>
        <w:t xml:space="preserve">funded by </w:t>
      </w:r>
      <w:r w:rsidRPr="00A45D68">
        <w:rPr>
          <w:rFonts w:ascii="TitilliumRegular" w:eastAsia="Times New Roman" w:hAnsi="TitilliumRegular" w:cs="Times New Roman"/>
          <w:color w:val="333C4E"/>
          <w:sz w:val="24"/>
          <w:szCs w:val="24"/>
        </w:rPr>
        <w:t>ViiV Healthcare UK</w:t>
      </w:r>
      <w:r w:rsidR="00FC7CA0" w:rsidRPr="00A45D68">
        <w:rPr>
          <w:rFonts w:ascii="TitilliumRegular" w:eastAsia="Times New Roman" w:hAnsi="TitilliumRegular" w:cs="Times New Roman"/>
          <w:color w:val="333C4E"/>
          <w:sz w:val="24"/>
          <w:szCs w:val="24"/>
        </w:rPr>
        <w:t>,</w:t>
      </w:r>
      <w:r w:rsidRPr="00A45D68">
        <w:rPr>
          <w:rFonts w:ascii="TitilliumRegular" w:eastAsia="Times New Roman" w:hAnsi="TitilliumRegular" w:cs="Times New Roman"/>
          <w:color w:val="333C4E"/>
          <w:sz w:val="24"/>
          <w:szCs w:val="24"/>
        </w:rPr>
        <w:t xml:space="preserve"> which aims to empower people who are aged 55 years and over and who are living with HIV to:</w:t>
      </w:r>
    </w:p>
    <w:p w:rsidR="000E2F10" w:rsidRPr="00A45D68" w:rsidRDefault="000E2F10" w:rsidP="000E2F10">
      <w:pPr>
        <w:rPr>
          <w:rFonts w:ascii="TitilliumRegular" w:eastAsia="Times New Roman" w:hAnsi="TitilliumRegular" w:cs="Times New Roman"/>
          <w:color w:val="333C4E"/>
          <w:sz w:val="24"/>
          <w:szCs w:val="24"/>
        </w:rPr>
      </w:pPr>
    </w:p>
    <w:p w:rsidR="000E2F10" w:rsidRPr="00A45D68" w:rsidRDefault="000E2F10" w:rsidP="000E2F10">
      <w:pPr>
        <w:pStyle w:val="ListParagraph"/>
        <w:numPr>
          <w:ilvl w:val="0"/>
          <w:numId w:val="6"/>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Live confidently with HIV into older age</w:t>
      </w:r>
    </w:p>
    <w:p w:rsidR="000E2F10" w:rsidRPr="00A45D68" w:rsidRDefault="000E2F10" w:rsidP="000E2F10">
      <w:pPr>
        <w:pStyle w:val="ListParagraph"/>
        <w:numPr>
          <w:ilvl w:val="0"/>
          <w:numId w:val="5"/>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 xml:space="preserve">Learn and adopt new skills and / or develop new interests </w:t>
      </w:r>
    </w:p>
    <w:p w:rsidR="000E2F10" w:rsidRPr="00A45D68" w:rsidRDefault="000E2F10" w:rsidP="000E2F10">
      <w:pPr>
        <w:pStyle w:val="ListParagraph"/>
        <w:numPr>
          <w:ilvl w:val="0"/>
          <w:numId w:val="4"/>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 xml:space="preserve">Contribute to the development and delivery of kite-marked HIV awareness training to social care providers </w:t>
      </w:r>
    </w:p>
    <w:p w:rsidR="000E2F10" w:rsidRPr="00A45D68" w:rsidRDefault="000E2F10" w:rsidP="000E2F10">
      <w:pPr>
        <w:pStyle w:val="ListParagraph"/>
        <w:numPr>
          <w:ilvl w:val="0"/>
          <w:numId w:val="4"/>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Engage with volunteering opportunities at George House Trust, including the ‘Positively Speaking’ project as well as wider awareness-raising opportunities</w:t>
      </w:r>
    </w:p>
    <w:p w:rsidR="000E2F10" w:rsidRPr="00A45D68" w:rsidRDefault="000E2F10" w:rsidP="000E2F10">
      <w:pPr>
        <w:pStyle w:val="ListParagraph"/>
        <w:numPr>
          <w:ilvl w:val="0"/>
          <w:numId w:val="4"/>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Engage with volunteering within the wider community</w:t>
      </w:r>
    </w:p>
    <w:p w:rsidR="007233A6" w:rsidRPr="00A45D68" w:rsidRDefault="007233A6" w:rsidP="000E2F10">
      <w:pPr>
        <w:rPr>
          <w:rFonts w:ascii="TitilliumRegular" w:eastAsia="Times New Roman" w:hAnsi="TitilliumRegular" w:cs="Times New Roman"/>
          <w:color w:val="333C4E"/>
          <w:sz w:val="24"/>
          <w:szCs w:val="24"/>
        </w:rPr>
      </w:pPr>
    </w:p>
    <w:p w:rsidR="000E2F10" w:rsidRPr="00A45D68" w:rsidRDefault="000E2F10" w:rsidP="000E2F10">
      <w:pPr>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lastRenderedPageBreak/>
        <w:t>Envisaged outcomes from the project would be that:</w:t>
      </w:r>
    </w:p>
    <w:p w:rsidR="000E2F10" w:rsidRDefault="000E2F10" w:rsidP="000E2F10">
      <w:pPr>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People over 55 and living with HIV would report:</w:t>
      </w:r>
    </w:p>
    <w:p w:rsidR="00A45D68" w:rsidRPr="00A45D68" w:rsidRDefault="00A45D68" w:rsidP="000E2F10">
      <w:pPr>
        <w:rPr>
          <w:rFonts w:ascii="TitilliumRegular" w:eastAsia="Times New Roman" w:hAnsi="TitilliumRegular" w:cs="Times New Roman"/>
          <w:color w:val="333C4E"/>
          <w:sz w:val="24"/>
          <w:szCs w:val="24"/>
        </w:rPr>
      </w:pPr>
    </w:p>
    <w:p w:rsidR="000E2F10" w:rsidRPr="00A45D68" w:rsidRDefault="000E2F10" w:rsidP="000E2F10">
      <w:pPr>
        <w:pStyle w:val="ListParagraph"/>
        <w:numPr>
          <w:ilvl w:val="0"/>
          <w:numId w:val="7"/>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Better overall wellbeing</w:t>
      </w:r>
    </w:p>
    <w:p w:rsidR="000E2F10" w:rsidRPr="00A45D68" w:rsidRDefault="000E2F10" w:rsidP="000E2F10">
      <w:pPr>
        <w:pStyle w:val="ListParagraph"/>
        <w:numPr>
          <w:ilvl w:val="0"/>
          <w:numId w:val="7"/>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Reduced feelings of social isolation and increased social connectivity</w:t>
      </w:r>
    </w:p>
    <w:p w:rsidR="000E2F10" w:rsidRPr="00A45D68" w:rsidRDefault="000E2F10" w:rsidP="000E2F10">
      <w:pPr>
        <w:pStyle w:val="ListParagraph"/>
        <w:numPr>
          <w:ilvl w:val="0"/>
          <w:numId w:val="7"/>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 xml:space="preserve">Reduced anxiety around growing older with HIV </w:t>
      </w:r>
    </w:p>
    <w:p w:rsidR="000E2F10" w:rsidRPr="00A45D68" w:rsidRDefault="000E2F10" w:rsidP="000E2F10">
      <w:pPr>
        <w:pStyle w:val="ListParagraph"/>
        <w:numPr>
          <w:ilvl w:val="0"/>
          <w:numId w:val="7"/>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Increased confidence to manage HIV well</w:t>
      </w:r>
    </w:p>
    <w:p w:rsidR="000E2F10" w:rsidRPr="00A45D68" w:rsidRDefault="000E2F10" w:rsidP="000E2F10">
      <w:pPr>
        <w:pStyle w:val="ListParagraph"/>
        <w:numPr>
          <w:ilvl w:val="0"/>
          <w:numId w:val="7"/>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 xml:space="preserve">Increased confidence and ability to talk about HIV   </w:t>
      </w:r>
    </w:p>
    <w:p w:rsidR="000E2F10" w:rsidRPr="00A45D68" w:rsidRDefault="000E2F10" w:rsidP="000E2F10">
      <w:pPr>
        <w:pStyle w:val="ListParagraph"/>
        <w:numPr>
          <w:ilvl w:val="0"/>
          <w:numId w:val="7"/>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Improved skills and widened interests</w:t>
      </w:r>
    </w:p>
    <w:p w:rsidR="000E2F10" w:rsidRPr="00A45D68" w:rsidRDefault="000E2F10" w:rsidP="000E2F10">
      <w:pPr>
        <w:pStyle w:val="ListParagraph"/>
        <w:numPr>
          <w:ilvl w:val="0"/>
          <w:numId w:val="7"/>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Increased involvement in volunteer activities</w:t>
      </w:r>
    </w:p>
    <w:p w:rsidR="004877F8" w:rsidRDefault="000E2F10" w:rsidP="004877F8">
      <w:pPr>
        <w:pStyle w:val="ListParagraph"/>
        <w:numPr>
          <w:ilvl w:val="0"/>
          <w:numId w:val="7"/>
        </w:numPr>
        <w:spacing w:line="240" w:lineRule="auto"/>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Increased sense of feeling better supported</w:t>
      </w:r>
    </w:p>
    <w:p w:rsidR="004877F8" w:rsidRPr="004877F8" w:rsidRDefault="004877F8" w:rsidP="004877F8">
      <w:pPr>
        <w:pStyle w:val="ListParagraph"/>
        <w:spacing w:line="240" w:lineRule="auto"/>
        <w:rPr>
          <w:rFonts w:ascii="TitilliumRegular" w:eastAsia="Times New Roman" w:hAnsi="TitilliumRegular" w:cs="Times New Roman"/>
          <w:color w:val="333C4E"/>
          <w:sz w:val="24"/>
          <w:szCs w:val="24"/>
          <w:lang w:eastAsia="en-GB"/>
        </w:rPr>
      </w:pPr>
    </w:p>
    <w:p w:rsidR="00A45D68" w:rsidRPr="004877F8" w:rsidRDefault="000E2F10" w:rsidP="004877F8">
      <w:pPr>
        <w:spacing w:line="240" w:lineRule="auto"/>
        <w:ind w:left="0"/>
        <w:rPr>
          <w:rFonts w:ascii="TitilliumRegular" w:eastAsia="Times New Roman" w:hAnsi="TitilliumRegular" w:cs="Times New Roman"/>
          <w:color w:val="333C4E"/>
          <w:sz w:val="24"/>
          <w:szCs w:val="24"/>
        </w:rPr>
      </w:pPr>
      <w:r w:rsidRPr="004877F8">
        <w:rPr>
          <w:rFonts w:ascii="TitilliumRegular" w:eastAsia="Times New Roman" w:hAnsi="TitilliumRegular" w:cs="Times New Roman"/>
          <w:b/>
          <w:color w:val="333C4E"/>
          <w:sz w:val="24"/>
          <w:szCs w:val="24"/>
        </w:rPr>
        <w:t>Residential care homes and / or domiciliary services receiving training would report:</w:t>
      </w:r>
    </w:p>
    <w:p w:rsidR="004877F8" w:rsidRPr="004877F8" w:rsidRDefault="004877F8" w:rsidP="004877F8">
      <w:pPr>
        <w:spacing w:line="240" w:lineRule="auto"/>
        <w:ind w:left="0" w:firstLine="0"/>
        <w:rPr>
          <w:rFonts w:ascii="TitilliumRegular" w:eastAsia="Times New Roman" w:hAnsi="TitilliumRegular" w:cs="Times New Roman"/>
          <w:color w:val="333C4E"/>
          <w:sz w:val="24"/>
          <w:szCs w:val="24"/>
        </w:rPr>
      </w:pPr>
    </w:p>
    <w:p w:rsidR="000E2F10" w:rsidRPr="00A45D68" w:rsidRDefault="000E2F10" w:rsidP="000E2F10">
      <w:pPr>
        <w:pStyle w:val="ListParagraph"/>
        <w:numPr>
          <w:ilvl w:val="0"/>
          <w:numId w:val="8"/>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Increased knowledge and understanding about HIV and ageing with HIV</w:t>
      </w:r>
    </w:p>
    <w:p w:rsidR="000E2F10" w:rsidRPr="00A45D68" w:rsidRDefault="000E2F10" w:rsidP="000E2F10">
      <w:pPr>
        <w:pStyle w:val="ListParagraph"/>
        <w:numPr>
          <w:ilvl w:val="0"/>
          <w:numId w:val="8"/>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 xml:space="preserve">Increased knowledge and understanding of the impact of HIV stigma </w:t>
      </w:r>
    </w:p>
    <w:p w:rsidR="000E2F10" w:rsidRPr="00A45D68" w:rsidRDefault="000E2F10" w:rsidP="000E2F10">
      <w:pPr>
        <w:pStyle w:val="ListParagraph"/>
        <w:numPr>
          <w:ilvl w:val="0"/>
          <w:numId w:val="8"/>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 xml:space="preserve">Reduced anxiety about supporting people living with HIV </w:t>
      </w:r>
    </w:p>
    <w:p w:rsidR="000E2F10" w:rsidRPr="00A45D68" w:rsidRDefault="000E2F10" w:rsidP="000E2F10">
      <w:pPr>
        <w:pStyle w:val="ListParagraph"/>
        <w:numPr>
          <w:ilvl w:val="0"/>
          <w:numId w:val="8"/>
        </w:numPr>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Increased confidence to support people living with HIV</w:t>
      </w:r>
    </w:p>
    <w:p w:rsidR="00BF4B21" w:rsidRDefault="000E2F10" w:rsidP="004877F8">
      <w:pPr>
        <w:spacing w:line="240" w:lineRule="auto"/>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Target numbers of beneficiaries and interventions will also be set for the project, and will be reported on as part of the evaluation.</w:t>
      </w:r>
    </w:p>
    <w:p w:rsidR="004877F8" w:rsidRPr="00A45D68" w:rsidRDefault="004877F8" w:rsidP="004877F8">
      <w:pPr>
        <w:spacing w:line="240" w:lineRule="auto"/>
        <w:rPr>
          <w:rFonts w:ascii="TitilliumRegular" w:eastAsia="Times New Roman" w:hAnsi="TitilliumRegular" w:cs="Times New Roman"/>
          <w:color w:val="333C4E"/>
          <w:sz w:val="24"/>
          <w:szCs w:val="24"/>
        </w:rPr>
      </w:pPr>
    </w:p>
    <w:p w:rsidR="00BF4B21" w:rsidRPr="00A45D68" w:rsidRDefault="00FC7CA0" w:rsidP="004877F8">
      <w:pPr>
        <w:spacing w:after="302" w:line="240" w:lineRule="auto"/>
        <w:ind w:left="-5"/>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 xml:space="preserve">As a minimum, we expect the successful candidate to meet the following deliverables:  </w:t>
      </w:r>
    </w:p>
    <w:p w:rsidR="00BF4B21" w:rsidRPr="00A45D68" w:rsidRDefault="007233A6" w:rsidP="00FE0225">
      <w:pPr>
        <w:pStyle w:val="ListParagraph"/>
        <w:numPr>
          <w:ilvl w:val="0"/>
          <w:numId w:val="14"/>
        </w:numPr>
        <w:spacing w:after="151" w:line="240" w:lineRule="auto"/>
        <w:ind w:left="714"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E</w:t>
      </w:r>
      <w:r w:rsidR="00FC7CA0" w:rsidRPr="00A45D68">
        <w:rPr>
          <w:rFonts w:ascii="TitilliumRegular" w:eastAsia="Times New Roman" w:hAnsi="TitilliumRegular" w:cs="Times New Roman"/>
          <w:color w:val="333C4E"/>
          <w:sz w:val="24"/>
          <w:szCs w:val="24"/>
          <w:lang w:eastAsia="en-GB"/>
        </w:rPr>
        <w:t xml:space="preserve">stablish a robust evaluation framework by </w:t>
      </w:r>
      <w:r w:rsidR="00FE0225" w:rsidRPr="00A45D68">
        <w:rPr>
          <w:rFonts w:ascii="TitilliumRegular" w:eastAsia="Times New Roman" w:hAnsi="TitilliumRegular" w:cs="Times New Roman"/>
          <w:color w:val="333C4E"/>
          <w:sz w:val="24"/>
          <w:szCs w:val="24"/>
          <w:lang w:eastAsia="en-GB"/>
        </w:rPr>
        <w:t>July</w:t>
      </w:r>
      <w:r w:rsidR="00FC7CA0" w:rsidRPr="00A45D68">
        <w:rPr>
          <w:rFonts w:ascii="TitilliumRegular" w:eastAsia="Times New Roman" w:hAnsi="TitilliumRegular" w:cs="Times New Roman"/>
          <w:color w:val="333C4E"/>
          <w:sz w:val="24"/>
          <w:szCs w:val="24"/>
          <w:lang w:eastAsia="en-GB"/>
        </w:rPr>
        <w:t xml:space="preserve"> 20</w:t>
      </w:r>
      <w:r w:rsidR="00FE0225" w:rsidRPr="00A45D68">
        <w:rPr>
          <w:rFonts w:ascii="TitilliumRegular" w:eastAsia="Times New Roman" w:hAnsi="TitilliumRegular" w:cs="Times New Roman"/>
          <w:color w:val="333C4E"/>
          <w:sz w:val="24"/>
          <w:szCs w:val="24"/>
          <w:lang w:eastAsia="en-GB"/>
        </w:rPr>
        <w:t>21</w:t>
      </w:r>
    </w:p>
    <w:p w:rsidR="00BF4B21" w:rsidRPr="00A45D68" w:rsidRDefault="007233A6" w:rsidP="00FE0225">
      <w:pPr>
        <w:pStyle w:val="ListParagraph"/>
        <w:numPr>
          <w:ilvl w:val="0"/>
          <w:numId w:val="14"/>
        </w:numPr>
        <w:spacing w:after="153" w:line="240" w:lineRule="auto"/>
        <w:ind w:left="714"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S</w:t>
      </w:r>
      <w:r w:rsidR="00FE0225" w:rsidRPr="00A45D68">
        <w:rPr>
          <w:rFonts w:ascii="TitilliumRegular" w:eastAsia="Times New Roman" w:hAnsi="TitilliumRegular" w:cs="Times New Roman"/>
          <w:color w:val="333C4E"/>
          <w:sz w:val="24"/>
          <w:szCs w:val="24"/>
          <w:lang w:eastAsia="en-GB"/>
        </w:rPr>
        <w:t>ix-month</w:t>
      </w:r>
      <w:r w:rsidR="00FC7CA0" w:rsidRPr="00A45D68">
        <w:rPr>
          <w:rFonts w:ascii="TitilliumRegular" w:eastAsia="Times New Roman" w:hAnsi="TitilliumRegular" w:cs="Times New Roman"/>
          <w:color w:val="333C4E"/>
          <w:sz w:val="24"/>
          <w:szCs w:val="24"/>
          <w:lang w:eastAsia="en-GB"/>
        </w:rPr>
        <w:t xml:space="preserve"> project review by end of </w:t>
      </w:r>
      <w:r w:rsidR="00FE0225" w:rsidRPr="00A45D68">
        <w:rPr>
          <w:rFonts w:ascii="TitilliumRegular" w:eastAsia="Times New Roman" w:hAnsi="TitilliumRegular" w:cs="Times New Roman"/>
          <w:color w:val="333C4E"/>
          <w:sz w:val="24"/>
          <w:szCs w:val="24"/>
          <w:lang w:eastAsia="en-GB"/>
        </w:rPr>
        <w:t>December 2021</w:t>
      </w:r>
      <w:r w:rsidR="00FC7CA0" w:rsidRPr="00A45D68">
        <w:rPr>
          <w:rFonts w:ascii="TitilliumRegular" w:eastAsia="Times New Roman" w:hAnsi="TitilliumRegular" w:cs="Times New Roman"/>
          <w:color w:val="333C4E"/>
          <w:sz w:val="24"/>
          <w:szCs w:val="24"/>
          <w:lang w:eastAsia="en-GB"/>
        </w:rPr>
        <w:t xml:space="preserve"> </w:t>
      </w:r>
    </w:p>
    <w:p w:rsidR="00BF4B21" w:rsidRPr="00A45D68" w:rsidRDefault="007233A6" w:rsidP="00FE0225">
      <w:pPr>
        <w:pStyle w:val="ListParagraph"/>
        <w:numPr>
          <w:ilvl w:val="0"/>
          <w:numId w:val="14"/>
        </w:numPr>
        <w:spacing w:after="151" w:line="240" w:lineRule="auto"/>
        <w:ind w:left="714"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O</w:t>
      </w:r>
      <w:r w:rsidR="00FC7CA0" w:rsidRPr="00A45D68">
        <w:rPr>
          <w:rFonts w:ascii="TitilliumRegular" w:eastAsia="Times New Roman" w:hAnsi="TitilliumRegular" w:cs="Times New Roman"/>
          <w:color w:val="333C4E"/>
          <w:sz w:val="24"/>
          <w:szCs w:val="24"/>
          <w:lang w:eastAsia="en-GB"/>
        </w:rPr>
        <w:t>verall evaluation and end of project report by</w:t>
      </w:r>
      <w:r w:rsidR="00FE0225" w:rsidRPr="00A45D68">
        <w:rPr>
          <w:rFonts w:ascii="TitilliumRegular" w:eastAsia="Times New Roman" w:hAnsi="TitilliumRegular" w:cs="Times New Roman"/>
          <w:color w:val="333C4E"/>
          <w:sz w:val="24"/>
          <w:szCs w:val="24"/>
          <w:lang w:eastAsia="en-GB"/>
        </w:rPr>
        <w:t xml:space="preserve"> June 2022</w:t>
      </w:r>
    </w:p>
    <w:p w:rsidR="007233A6" w:rsidRPr="00A45D68" w:rsidRDefault="007233A6" w:rsidP="007233A6">
      <w:pPr>
        <w:spacing w:after="151" w:line="240" w:lineRule="auto"/>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The successful candidate will also be required to attend Project Advisory Group meetings here at George House Trust. These will be quarterly and will commence in June.</w:t>
      </w:r>
    </w:p>
    <w:p w:rsidR="007233A6" w:rsidRPr="00A45D68" w:rsidRDefault="00FC7CA0" w:rsidP="007233A6">
      <w:pPr>
        <w:spacing w:after="100" w:afterAutospacing="1" w:line="240" w:lineRule="auto"/>
        <w:ind w:left="-6" w:hanging="11"/>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We expect the evaluator to share findings with the </w:t>
      </w:r>
      <w:r w:rsidR="000E2F10" w:rsidRPr="00A45D68">
        <w:rPr>
          <w:rFonts w:ascii="TitilliumRegular" w:eastAsia="Times New Roman" w:hAnsi="TitilliumRegular" w:cs="Times New Roman"/>
          <w:color w:val="333C4E"/>
          <w:sz w:val="24"/>
          <w:szCs w:val="24"/>
        </w:rPr>
        <w:t xml:space="preserve">Age Positive </w:t>
      </w:r>
      <w:r w:rsidRPr="00A45D68">
        <w:rPr>
          <w:rFonts w:ascii="TitilliumRegular" w:eastAsia="Times New Roman" w:hAnsi="TitilliumRegular" w:cs="Times New Roman"/>
          <w:color w:val="333C4E"/>
          <w:sz w:val="24"/>
          <w:szCs w:val="24"/>
        </w:rPr>
        <w:t>Co-ordinator and</w:t>
      </w:r>
      <w:r w:rsidR="007233A6" w:rsidRPr="00A45D68">
        <w:rPr>
          <w:rFonts w:ascii="TitilliumRegular" w:eastAsia="Times New Roman" w:hAnsi="TitilliumRegular" w:cs="Times New Roman"/>
          <w:color w:val="333C4E"/>
          <w:sz w:val="24"/>
          <w:szCs w:val="24"/>
        </w:rPr>
        <w:t xml:space="preserve"> </w:t>
      </w:r>
      <w:r w:rsidRPr="00A45D68">
        <w:rPr>
          <w:rFonts w:ascii="TitilliumRegular" w:eastAsia="Times New Roman" w:hAnsi="TitilliumRegular" w:cs="Times New Roman"/>
          <w:color w:val="333C4E"/>
          <w:sz w:val="24"/>
          <w:szCs w:val="24"/>
        </w:rPr>
        <w:t>Services Director and to keep them abreast of any developments.</w:t>
      </w:r>
    </w:p>
    <w:p w:rsidR="00BF4B21" w:rsidRPr="00A45D68" w:rsidRDefault="00FE0225" w:rsidP="007233A6">
      <w:pPr>
        <w:spacing w:after="295" w:line="240" w:lineRule="auto"/>
        <w:ind w:left="0" w:firstLine="0"/>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For each evaluation</w:t>
      </w:r>
      <w:r w:rsidR="00FC7CA0" w:rsidRPr="00A45D68">
        <w:rPr>
          <w:rFonts w:ascii="TitilliumRegular" w:eastAsia="Times New Roman" w:hAnsi="TitilliumRegular" w:cs="Times New Roman"/>
          <w:b/>
          <w:color w:val="333C4E"/>
          <w:sz w:val="24"/>
          <w:szCs w:val="24"/>
        </w:rPr>
        <w:t xml:space="preserve"> we would expect as a minimum:  </w:t>
      </w:r>
    </w:p>
    <w:p w:rsidR="00FE0225" w:rsidRPr="00A45D68" w:rsidRDefault="007233A6" w:rsidP="007233A6">
      <w:pPr>
        <w:pStyle w:val="ListParagraph"/>
        <w:numPr>
          <w:ilvl w:val="0"/>
          <w:numId w:val="16"/>
        </w:numPr>
        <w:spacing w:after="153"/>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A</w:t>
      </w:r>
      <w:r w:rsidR="00FC7CA0" w:rsidRPr="00A45D68">
        <w:rPr>
          <w:rFonts w:ascii="TitilliumRegular" w:eastAsia="Times New Roman" w:hAnsi="TitilliumRegular" w:cs="Times New Roman"/>
          <w:color w:val="333C4E"/>
          <w:sz w:val="24"/>
          <w:szCs w:val="24"/>
          <w:lang w:eastAsia="en-GB"/>
        </w:rPr>
        <w:t>nalysis of project outcomes data</w:t>
      </w:r>
    </w:p>
    <w:p w:rsidR="00BF4B21" w:rsidRPr="00A45D68" w:rsidRDefault="007233A6" w:rsidP="0067344A">
      <w:pPr>
        <w:pStyle w:val="ListParagraph"/>
        <w:numPr>
          <w:ilvl w:val="0"/>
          <w:numId w:val="16"/>
        </w:numPr>
        <w:spacing w:line="240" w:lineRule="auto"/>
        <w:ind w:left="714"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U</w:t>
      </w:r>
      <w:r w:rsidR="00FC7CA0" w:rsidRPr="00A45D68">
        <w:rPr>
          <w:rFonts w:ascii="TitilliumRegular" w:eastAsia="Times New Roman" w:hAnsi="TitilliumRegular" w:cs="Times New Roman"/>
          <w:color w:val="333C4E"/>
          <w:sz w:val="24"/>
          <w:szCs w:val="24"/>
          <w:lang w:eastAsia="en-GB"/>
        </w:rPr>
        <w:t>se of other relevant creative approaches to gathering feedback with project beneficiaries</w:t>
      </w:r>
    </w:p>
    <w:p w:rsidR="007233A6" w:rsidRPr="00A45D68" w:rsidRDefault="007233A6" w:rsidP="007233A6">
      <w:pPr>
        <w:pStyle w:val="ListParagraph"/>
        <w:numPr>
          <w:ilvl w:val="0"/>
          <w:numId w:val="16"/>
        </w:numPr>
        <w:spacing w:after="31" w:line="240" w:lineRule="auto"/>
        <w:ind w:left="714" w:hanging="357"/>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The delivery of focus groups and one-to-one interviews with the following groups:</w:t>
      </w:r>
    </w:p>
    <w:p w:rsidR="007233A6" w:rsidRPr="00A45D68" w:rsidRDefault="007233A6" w:rsidP="007233A6">
      <w:pPr>
        <w:pStyle w:val="ListParagraph"/>
        <w:numPr>
          <w:ilvl w:val="1"/>
          <w:numId w:val="16"/>
        </w:numPr>
        <w:spacing w:after="126"/>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Service users</w:t>
      </w:r>
    </w:p>
    <w:p w:rsidR="007233A6" w:rsidRPr="00A45D68" w:rsidRDefault="007233A6" w:rsidP="007233A6">
      <w:pPr>
        <w:pStyle w:val="ListParagraph"/>
        <w:numPr>
          <w:ilvl w:val="1"/>
          <w:numId w:val="16"/>
        </w:numPr>
        <w:spacing w:after="129"/>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George House Trust paid staff</w:t>
      </w:r>
    </w:p>
    <w:p w:rsidR="007233A6" w:rsidRPr="00A45D68" w:rsidRDefault="007233A6" w:rsidP="007233A6">
      <w:pPr>
        <w:pStyle w:val="ListParagraph"/>
        <w:numPr>
          <w:ilvl w:val="1"/>
          <w:numId w:val="16"/>
        </w:numPr>
        <w:spacing w:after="129"/>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Activity facilitators and speakers</w:t>
      </w:r>
    </w:p>
    <w:p w:rsidR="007233A6" w:rsidRPr="00A45D68" w:rsidRDefault="007233A6" w:rsidP="007233A6">
      <w:pPr>
        <w:pStyle w:val="ListParagraph"/>
        <w:numPr>
          <w:ilvl w:val="1"/>
          <w:numId w:val="16"/>
        </w:numPr>
        <w:spacing w:after="129"/>
        <w:rPr>
          <w:rFonts w:ascii="TitilliumRegular" w:eastAsia="Times New Roman" w:hAnsi="TitilliumRegular" w:cs="Times New Roman"/>
          <w:color w:val="333C4E"/>
          <w:sz w:val="24"/>
          <w:szCs w:val="24"/>
          <w:lang w:eastAsia="en-GB"/>
        </w:rPr>
      </w:pPr>
      <w:r w:rsidRPr="00A45D68">
        <w:rPr>
          <w:rFonts w:ascii="TitilliumRegular" w:eastAsia="Times New Roman" w:hAnsi="TitilliumRegular" w:cs="Times New Roman"/>
          <w:color w:val="333C4E"/>
          <w:sz w:val="24"/>
          <w:szCs w:val="24"/>
          <w:lang w:eastAsia="en-GB"/>
        </w:rPr>
        <w:t>External partners</w:t>
      </w:r>
    </w:p>
    <w:p w:rsidR="00A45D68" w:rsidRDefault="00A45D68" w:rsidP="007233A6">
      <w:pPr>
        <w:spacing w:after="111" w:line="259" w:lineRule="auto"/>
        <w:ind w:left="0" w:firstLine="0"/>
        <w:rPr>
          <w:rFonts w:ascii="TitilliumRegular" w:eastAsia="Times New Roman" w:hAnsi="TitilliumRegular" w:cs="Times New Roman"/>
          <w:color w:val="333C4E"/>
          <w:sz w:val="24"/>
          <w:szCs w:val="24"/>
        </w:rPr>
      </w:pPr>
    </w:p>
    <w:p w:rsidR="00BF4B21" w:rsidRPr="00A45D68" w:rsidRDefault="00FC7CA0" w:rsidP="007233A6">
      <w:pPr>
        <w:spacing w:after="111"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b/>
          <w:color w:val="333C4E"/>
          <w:sz w:val="24"/>
          <w:szCs w:val="24"/>
        </w:rPr>
        <w:t xml:space="preserve">Submission Outline  </w:t>
      </w:r>
    </w:p>
    <w:p w:rsidR="00BF4B21" w:rsidRPr="00A45D68" w:rsidRDefault="00FF0C8A" w:rsidP="007233A6">
      <w:pPr>
        <w:spacing w:after="100" w:afterAutospacing="1" w:line="240" w:lineRule="auto"/>
        <w:ind w:left="-6" w:hanging="11"/>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Email</w:t>
      </w:r>
      <w:r w:rsidR="00FC7CA0" w:rsidRPr="00A45D68">
        <w:rPr>
          <w:rFonts w:ascii="TitilliumRegular" w:eastAsia="Times New Roman" w:hAnsi="TitilliumRegular" w:cs="Times New Roman"/>
          <w:color w:val="333C4E"/>
          <w:sz w:val="24"/>
          <w:szCs w:val="24"/>
        </w:rPr>
        <w:t xml:space="preserve"> us a submission of no more than </w:t>
      </w:r>
      <w:r w:rsidRPr="00A45D68">
        <w:rPr>
          <w:rFonts w:ascii="TitilliumRegular" w:eastAsia="Times New Roman" w:hAnsi="TitilliumRegular" w:cs="Times New Roman"/>
          <w:color w:val="333C4E"/>
          <w:sz w:val="24"/>
          <w:szCs w:val="24"/>
        </w:rPr>
        <w:t>2 sides of A4</w:t>
      </w:r>
      <w:r w:rsidR="00FC7CA0" w:rsidRPr="00A45D68">
        <w:rPr>
          <w:rFonts w:ascii="TitilliumRegular" w:eastAsia="Times New Roman" w:hAnsi="TitilliumRegular" w:cs="Times New Roman"/>
          <w:color w:val="333C4E"/>
          <w:sz w:val="24"/>
          <w:szCs w:val="24"/>
        </w:rPr>
        <w:t xml:space="preserve"> (excluding any examples of past work)</w:t>
      </w:r>
      <w:r w:rsidRPr="00A45D68">
        <w:rPr>
          <w:rFonts w:ascii="TitilliumRegular" w:eastAsia="Times New Roman" w:hAnsi="TitilliumRegular" w:cs="Times New Roman"/>
          <w:color w:val="333C4E"/>
          <w:sz w:val="24"/>
          <w:szCs w:val="24"/>
        </w:rPr>
        <w:t xml:space="preserve"> to anna@ght.org.uk</w:t>
      </w:r>
      <w:r w:rsidR="00FC7CA0" w:rsidRPr="00A45D68">
        <w:rPr>
          <w:rFonts w:ascii="TitilliumRegular" w:eastAsia="Times New Roman" w:hAnsi="TitilliumRegular" w:cs="Times New Roman"/>
          <w:color w:val="333C4E"/>
          <w:sz w:val="24"/>
          <w:szCs w:val="24"/>
        </w:rPr>
        <w:t xml:space="preserve">. </w:t>
      </w:r>
    </w:p>
    <w:p w:rsidR="00BF4B21" w:rsidRPr="00A45D68" w:rsidRDefault="00FF0C8A">
      <w:pPr>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Tell</w:t>
      </w:r>
      <w:r w:rsidR="00FC7CA0" w:rsidRPr="00A45D68">
        <w:rPr>
          <w:rFonts w:ascii="TitilliumRegular" w:eastAsia="Times New Roman" w:hAnsi="TitilliumRegular" w:cs="Times New Roman"/>
          <w:color w:val="333C4E"/>
          <w:sz w:val="24"/>
          <w:szCs w:val="24"/>
        </w:rPr>
        <w:t xml:space="preserve"> us about: </w:t>
      </w:r>
    </w:p>
    <w:p w:rsidR="00BF4B21" w:rsidRPr="00A45D68" w:rsidRDefault="00FC7CA0">
      <w:pPr>
        <w:spacing w:after="7"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numPr>
          <w:ilvl w:val="0"/>
          <w:numId w:val="3"/>
        </w:numPr>
        <w:ind w:hanging="36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Your interest in this particular piece of work  </w:t>
      </w:r>
    </w:p>
    <w:p w:rsidR="00BF4B21" w:rsidRPr="00A45D68" w:rsidRDefault="00FC7CA0">
      <w:pPr>
        <w:spacing w:after="9" w:line="259" w:lineRule="auto"/>
        <w:ind w:left="36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numPr>
          <w:ilvl w:val="0"/>
          <w:numId w:val="3"/>
        </w:numPr>
        <w:ind w:hanging="36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Your track record  </w:t>
      </w:r>
    </w:p>
    <w:p w:rsidR="00BF4B21" w:rsidRPr="00A45D68" w:rsidRDefault="00FC7CA0">
      <w:pPr>
        <w:spacing w:after="10" w:line="259" w:lineRule="auto"/>
        <w:ind w:left="36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numPr>
          <w:ilvl w:val="0"/>
          <w:numId w:val="3"/>
        </w:numPr>
        <w:ind w:hanging="36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How you propose to meet this brief </w:t>
      </w:r>
    </w:p>
    <w:p w:rsidR="00BF4B21" w:rsidRPr="00A45D68" w:rsidRDefault="00FC7CA0">
      <w:pPr>
        <w:spacing w:after="7"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numPr>
          <w:ilvl w:val="0"/>
          <w:numId w:val="3"/>
        </w:numPr>
        <w:ind w:hanging="36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Your proposed processes and methodology for information gathering and analysis </w:t>
      </w:r>
    </w:p>
    <w:p w:rsidR="00BF4B21" w:rsidRPr="00A45D68" w:rsidRDefault="00FC7CA0">
      <w:pPr>
        <w:spacing w:after="8"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numPr>
          <w:ilvl w:val="0"/>
          <w:numId w:val="3"/>
        </w:numPr>
        <w:ind w:hanging="36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Who you would involve and how you would ensure high stakeholder engagement </w:t>
      </w:r>
    </w:p>
    <w:p w:rsidR="00BF4B21" w:rsidRPr="00A45D68" w:rsidRDefault="00BF4B21">
      <w:pPr>
        <w:spacing w:after="7" w:line="259" w:lineRule="auto"/>
        <w:ind w:left="0" w:firstLine="0"/>
        <w:rPr>
          <w:rFonts w:ascii="TitilliumRegular" w:eastAsia="Times New Roman" w:hAnsi="TitilliumRegular" w:cs="Times New Roman"/>
          <w:color w:val="333C4E"/>
          <w:sz w:val="24"/>
          <w:szCs w:val="24"/>
        </w:rPr>
      </w:pPr>
    </w:p>
    <w:p w:rsidR="00BF4B21" w:rsidRPr="00A45D68" w:rsidRDefault="00FC7CA0">
      <w:pPr>
        <w:numPr>
          <w:ilvl w:val="0"/>
          <w:numId w:val="3"/>
        </w:numPr>
        <w:ind w:hanging="36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Any other relevant information  </w:t>
      </w:r>
    </w:p>
    <w:p w:rsidR="00BF4B21" w:rsidRPr="00A45D68" w:rsidRDefault="00FC7CA0">
      <w:pPr>
        <w:spacing w:after="0" w:line="259" w:lineRule="auto"/>
        <w:ind w:left="72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rsidP="007233A6">
      <w:pPr>
        <w:spacing w:line="240" w:lineRule="auto"/>
        <w:ind w:left="-6" w:hanging="11"/>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Please enclose examples of past work as well as the names of two referees. These should be current or recent clients for whom similar evaluations were carried out.</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p w:rsidR="00BF4B21" w:rsidRPr="00A45D68" w:rsidRDefault="00FC7CA0">
      <w:pPr>
        <w:pStyle w:val="Heading1"/>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Key Dates </w:t>
      </w:r>
    </w:p>
    <w:p w:rsidR="00BF4B21" w:rsidRPr="00A45D68" w:rsidRDefault="00FC7CA0">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 </w:t>
      </w:r>
    </w:p>
    <w:tbl>
      <w:tblPr>
        <w:tblStyle w:val="TableGrid"/>
        <w:tblW w:w="9019" w:type="dxa"/>
        <w:tblInd w:w="5" w:type="dxa"/>
        <w:tblCellMar>
          <w:top w:w="54" w:type="dxa"/>
          <w:left w:w="108" w:type="dxa"/>
          <w:right w:w="115" w:type="dxa"/>
        </w:tblCellMar>
        <w:tblLook w:val="04A0" w:firstRow="1" w:lastRow="0" w:firstColumn="1" w:lastColumn="0" w:noHBand="0" w:noVBand="1"/>
      </w:tblPr>
      <w:tblGrid>
        <w:gridCol w:w="4952"/>
        <w:gridCol w:w="4067"/>
      </w:tblGrid>
      <w:tr w:rsidR="00BF4B21" w:rsidRPr="00A45D68" w:rsidTr="007233A6">
        <w:trPr>
          <w:trHeight w:val="545"/>
        </w:trPr>
        <w:tc>
          <w:tcPr>
            <w:tcW w:w="4952" w:type="dxa"/>
            <w:tcBorders>
              <w:top w:val="single" w:sz="4" w:space="0" w:color="000000"/>
              <w:left w:val="single" w:sz="4" w:space="0" w:color="000000"/>
              <w:bottom w:val="single" w:sz="4" w:space="0" w:color="000000"/>
              <w:right w:val="single" w:sz="4" w:space="0" w:color="000000"/>
            </w:tcBorders>
          </w:tcPr>
          <w:p w:rsidR="00BF4B21" w:rsidRPr="00A45D68" w:rsidRDefault="00FC7CA0">
            <w:pPr>
              <w:spacing w:after="0" w:line="259" w:lineRule="auto"/>
              <w:ind w:left="0" w:firstLine="0"/>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 xml:space="preserve">Deadline for submissions  </w:t>
            </w:r>
          </w:p>
          <w:p w:rsidR="00BF4B21" w:rsidRPr="00A45D68" w:rsidRDefault="00FC7CA0">
            <w:pPr>
              <w:spacing w:after="0" w:line="259" w:lineRule="auto"/>
              <w:ind w:left="0" w:firstLine="0"/>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 xml:space="preserve"> </w:t>
            </w:r>
          </w:p>
        </w:tc>
        <w:tc>
          <w:tcPr>
            <w:tcW w:w="4067" w:type="dxa"/>
            <w:tcBorders>
              <w:top w:val="single" w:sz="4" w:space="0" w:color="000000"/>
              <w:left w:val="single" w:sz="4" w:space="0" w:color="000000"/>
              <w:bottom w:val="single" w:sz="4" w:space="0" w:color="000000"/>
              <w:right w:val="single" w:sz="4" w:space="0" w:color="000000"/>
            </w:tcBorders>
          </w:tcPr>
          <w:p w:rsidR="00BF4B21" w:rsidRPr="00A45D68" w:rsidRDefault="00FF0C8A">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Friday 21st May 2021 – 12.00pm</w:t>
            </w:r>
          </w:p>
        </w:tc>
      </w:tr>
      <w:tr w:rsidR="00BF4B21" w:rsidRPr="00A45D68" w:rsidTr="007233A6">
        <w:trPr>
          <w:trHeight w:val="545"/>
        </w:trPr>
        <w:tc>
          <w:tcPr>
            <w:tcW w:w="4952" w:type="dxa"/>
            <w:tcBorders>
              <w:top w:val="single" w:sz="4" w:space="0" w:color="000000"/>
              <w:left w:val="single" w:sz="4" w:space="0" w:color="000000"/>
              <w:bottom w:val="single" w:sz="4" w:space="0" w:color="000000"/>
              <w:right w:val="single" w:sz="4" w:space="0" w:color="000000"/>
            </w:tcBorders>
          </w:tcPr>
          <w:p w:rsidR="00BF4B21" w:rsidRDefault="00FC7CA0">
            <w:pPr>
              <w:spacing w:after="0" w:line="259" w:lineRule="auto"/>
              <w:ind w:left="0" w:firstLine="0"/>
              <w:rPr>
                <w:rFonts w:ascii="TitilliumRegular" w:eastAsia="Times New Roman" w:hAnsi="TitilliumRegular" w:cs="Times New Roman"/>
                <w:b/>
                <w:color w:val="333C4E"/>
                <w:sz w:val="24"/>
                <w:szCs w:val="24"/>
              </w:rPr>
            </w:pPr>
            <w:r w:rsidRPr="00A45D68">
              <w:rPr>
                <w:rFonts w:ascii="TitilliumRegular" w:eastAsia="Times New Roman" w:hAnsi="TitilliumRegular" w:cs="Times New Roman"/>
                <w:b/>
                <w:color w:val="333C4E"/>
                <w:sz w:val="24"/>
                <w:szCs w:val="24"/>
              </w:rPr>
              <w:t xml:space="preserve">Interviews for shortlisted candidates </w:t>
            </w:r>
          </w:p>
          <w:p w:rsidR="00A45D68" w:rsidRPr="00A45D68" w:rsidRDefault="00A45D68">
            <w:pPr>
              <w:spacing w:after="0" w:line="259" w:lineRule="auto"/>
              <w:ind w:left="0" w:firstLine="0"/>
              <w:rPr>
                <w:rFonts w:ascii="TitilliumRegular" w:eastAsia="Times New Roman" w:hAnsi="TitilliumRegular" w:cs="Times New Roman"/>
                <w:b/>
                <w:color w:val="333C4E"/>
                <w:sz w:val="24"/>
                <w:szCs w:val="24"/>
              </w:rPr>
            </w:pPr>
          </w:p>
        </w:tc>
        <w:tc>
          <w:tcPr>
            <w:tcW w:w="4067" w:type="dxa"/>
            <w:tcBorders>
              <w:top w:val="single" w:sz="4" w:space="0" w:color="000000"/>
              <w:left w:val="single" w:sz="4" w:space="0" w:color="000000"/>
              <w:bottom w:val="single" w:sz="4" w:space="0" w:color="000000"/>
              <w:right w:val="single" w:sz="4" w:space="0" w:color="000000"/>
            </w:tcBorders>
          </w:tcPr>
          <w:p w:rsidR="00BF4B21" w:rsidRPr="00A45D68" w:rsidRDefault="00FF0C8A">
            <w:pPr>
              <w:spacing w:after="0" w:line="259"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Friday 28th May 2021</w:t>
            </w:r>
          </w:p>
        </w:tc>
      </w:tr>
    </w:tbl>
    <w:p w:rsidR="00BF4B21" w:rsidRPr="00A45D68" w:rsidRDefault="00BF4B21" w:rsidP="00A45D68">
      <w:pPr>
        <w:spacing w:after="0" w:line="259" w:lineRule="auto"/>
        <w:ind w:left="0" w:firstLine="0"/>
        <w:rPr>
          <w:rFonts w:ascii="TitilliumRegular" w:eastAsia="Times New Roman" w:hAnsi="TitilliumRegular" w:cs="Times New Roman"/>
          <w:color w:val="333C4E"/>
          <w:sz w:val="24"/>
          <w:szCs w:val="24"/>
        </w:rPr>
      </w:pPr>
    </w:p>
    <w:p w:rsidR="0067344A" w:rsidRPr="00A45D68" w:rsidRDefault="00FC7CA0" w:rsidP="008D31CB">
      <w:pPr>
        <w:spacing w:after="0" w:line="240" w:lineRule="auto"/>
        <w:ind w:left="-6" w:hanging="11"/>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If you </w:t>
      </w:r>
      <w:r w:rsidR="007233A6" w:rsidRPr="00A45D68">
        <w:rPr>
          <w:rFonts w:ascii="TitilliumRegular" w:eastAsia="Times New Roman" w:hAnsi="TitilliumRegular" w:cs="Times New Roman"/>
          <w:color w:val="333C4E"/>
          <w:sz w:val="24"/>
          <w:szCs w:val="24"/>
        </w:rPr>
        <w:t>would like additional information or</w:t>
      </w:r>
      <w:r w:rsidRPr="00A45D68">
        <w:rPr>
          <w:rFonts w:ascii="TitilliumRegular" w:eastAsia="Times New Roman" w:hAnsi="TitilliumRegular" w:cs="Times New Roman"/>
          <w:color w:val="333C4E"/>
          <w:sz w:val="24"/>
          <w:szCs w:val="24"/>
        </w:rPr>
        <w:t xml:space="preserve"> have any questions</w:t>
      </w:r>
      <w:r w:rsidR="007233A6" w:rsidRPr="00A45D68">
        <w:rPr>
          <w:rFonts w:ascii="TitilliumRegular" w:eastAsia="Times New Roman" w:hAnsi="TitilliumRegular" w:cs="Times New Roman"/>
          <w:color w:val="333C4E"/>
          <w:sz w:val="24"/>
          <w:szCs w:val="24"/>
        </w:rPr>
        <w:t xml:space="preserve">, </w:t>
      </w:r>
      <w:r w:rsidRPr="00A45D68">
        <w:rPr>
          <w:rFonts w:ascii="TitilliumRegular" w:eastAsia="Times New Roman" w:hAnsi="TitilliumRegular" w:cs="Times New Roman"/>
          <w:color w:val="333C4E"/>
          <w:sz w:val="24"/>
          <w:szCs w:val="24"/>
        </w:rPr>
        <w:t xml:space="preserve">please contact </w:t>
      </w:r>
      <w:r w:rsidR="000E2F10" w:rsidRPr="00A45D68">
        <w:rPr>
          <w:rFonts w:ascii="TitilliumRegular" w:eastAsia="Times New Roman" w:hAnsi="TitilliumRegular" w:cs="Times New Roman"/>
          <w:color w:val="333C4E"/>
          <w:sz w:val="24"/>
          <w:szCs w:val="24"/>
        </w:rPr>
        <w:t xml:space="preserve">Anna Hughes, </w:t>
      </w:r>
      <w:r w:rsidR="00FE0225" w:rsidRPr="00A45D68">
        <w:rPr>
          <w:rFonts w:ascii="TitilliumRegular" w:eastAsia="Times New Roman" w:hAnsi="TitilliumRegular" w:cs="Times New Roman"/>
          <w:color w:val="333C4E"/>
          <w:sz w:val="24"/>
          <w:szCs w:val="24"/>
        </w:rPr>
        <w:t>Project Coordinator</w:t>
      </w:r>
      <w:r w:rsidR="007233A6" w:rsidRPr="00A45D68">
        <w:rPr>
          <w:rFonts w:ascii="TitilliumRegular" w:eastAsia="Times New Roman" w:hAnsi="TitilliumRegular" w:cs="Times New Roman"/>
          <w:color w:val="333C4E"/>
          <w:sz w:val="24"/>
          <w:szCs w:val="24"/>
        </w:rPr>
        <w:t xml:space="preserve"> via</w:t>
      </w:r>
      <w:r w:rsidRPr="00A45D68">
        <w:rPr>
          <w:rFonts w:ascii="TitilliumRegular" w:eastAsia="Times New Roman" w:hAnsi="TitilliumRegular" w:cs="Times New Roman"/>
          <w:color w:val="333C4E"/>
          <w:sz w:val="24"/>
          <w:szCs w:val="24"/>
        </w:rPr>
        <w:t xml:space="preserve"> email: </w:t>
      </w:r>
      <w:hyperlink r:id="rId7" w:history="1">
        <w:r w:rsidR="00FF0C8A" w:rsidRPr="00A45D68">
          <w:rPr>
            <w:rFonts w:ascii="TitilliumRegular" w:eastAsia="Times New Roman" w:hAnsi="TitilliumRegular" w:cs="Times New Roman"/>
            <w:color w:val="333C4E"/>
            <w:sz w:val="24"/>
            <w:szCs w:val="24"/>
          </w:rPr>
          <w:t>anna@ght.org.uk</w:t>
        </w:r>
      </w:hyperlink>
      <w:bookmarkStart w:id="0" w:name="_GoBack"/>
      <w:bookmarkEnd w:id="0"/>
      <w:r w:rsidRPr="00A45D68">
        <w:rPr>
          <w:rFonts w:ascii="TitilliumRegular" w:eastAsia="Times New Roman" w:hAnsi="TitilliumRegular" w:cs="Times New Roman"/>
          <w:color w:val="333C4E"/>
          <w:sz w:val="24"/>
          <w:szCs w:val="24"/>
        </w:rPr>
        <w:t xml:space="preserve"> </w:t>
      </w:r>
    </w:p>
    <w:p w:rsidR="00FF0C8A" w:rsidRPr="00A45D68" w:rsidRDefault="00FF0C8A" w:rsidP="00FF0C8A">
      <w:pPr>
        <w:spacing w:line="359" w:lineRule="auto"/>
        <w:ind w:left="0" w:firstLine="0"/>
        <w:rPr>
          <w:rFonts w:ascii="TitilliumRegular" w:eastAsia="Times New Roman" w:hAnsi="TitilliumRegular" w:cs="Times New Roman"/>
          <w:color w:val="333C4E"/>
          <w:sz w:val="24"/>
          <w:szCs w:val="24"/>
        </w:rPr>
      </w:pPr>
    </w:p>
    <w:p w:rsidR="00FF0C8A" w:rsidRPr="00A45D68" w:rsidRDefault="00FF0C8A" w:rsidP="00FF0C8A">
      <w:pPr>
        <w:pStyle w:val="Heading1"/>
        <w:ind w:left="-5"/>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Data Protection </w:t>
      </w:r>
    </w:p>
    <w:p w:rsidR="007233A6" w:rsidRPr="00A45D68" w:rsidRDefault="00FF0C8A" w:rsidP="007233A6">
      <w:pPr>
        <w:spacing w:after="0" w:line="240"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 xml:space="preserve">Please note that you will be expected to work within George House Trust’s Policies, including our Data Protection Policy and Confidentiality Policy. Any data you collect as part of this evaluation work will be owned by George House Trust </w:t>
      </w:r>
    </w:p>
    <w:p w:rsidR="007233A6" w:rsidRPr="00A45D68" w:rsidRDefault="007233A6" w:rsidP="007233A6">
      <w:pPr>
        <w:spacing w:after="0" w:line="240" w:lineRule="auto"/>
        <w:ind w:left="0" w:firstLine="0"/>
        <w:rPr>
          <w:rFonts w:ascii="TitilliumRegular" w:eastAsia="Times New Roman" w:hAnsi="TitilliumRegular" w:cs="Times New Roman"/>
          <w:color w:val="333C4E"/>
          <w:sz w:val="24"/>
          <w:szCs w:val="24"/>
        </w:rPr>
      </w:pPr>
    </w:p>
    <w:p w:rsidR="007233A6" w:rsidRPr="00A45D68" w:rsidRDefault="007233A6" w:rsidP="007233A6">
      <w:pPr>
        <w:spacing w:after="0" w:line="240" w:lineRule="auto"/>
        <w:ind w:left="0" w:firstLine="0"/>
        <w:rPr>
          <w:rFonts w:ascii="TitilliumRegular" w:eastAsia="Times New Roman" w:hAnsi="TitilliumRegular" w:cs="Times New Roman"/>
          <w:color w:val="333C4E"/>
          <w:sz w:val="24"/>
          <w:szCs w:val="24"/>
        </w:rPr>
      </w:pPr>
    </w:p>
    <w:p w:rsidR="004877F8" w:rsidRPr="00A45D68" w:rsidRDefault="004877F8" w:rsidP="007233A6">
      <w:pPr>
        <w:spacing w:after="0" w:line="240" w:lineRule="auto"/>
        <w:ind w:left="0" w:firstLine="0"/>
        <w:rPr>
          <w:rFonts w:ascii="TitilliumRegular" w:eastAsia="Times New Roman" w:hAnsi="TitilliumRegular" w:cs="Times New Roman"/>
          <w:color w:val="333C4E"/>
          <w:sz w:val="24"/>
          <w:szCs w:val="24"/>
        </w:rPr>
      </w:pPr>
    </w:p>
    <w:p w:rsidR="00BF4B21" w:rsidRPr="00A45D68" w:rsidRDefault="00FC7CA0" w:rsidP="007233A6">
      <w:pPr>
        <w:spacing w:after="0" w:line="240" w:lineRule="auto"/>
        <w:ind w:left="0" w:firstLine="0"/>
        <w:rPr>
          <w:rFonts w:ascii="TitilliumRegular" w:eastAsia="Times New Roman" w:hAnsi="TitilliumRegular" w:cs="Times New Roman"/>
          <w:color w:val="333C4E"/>
          <w:sz w:val="24"/>
          <w:szCs w:val="24"/>
        </w:rPr>
      </w:pPr>
      <w:r w:rsidRPr="00A45D68">
        <w:rPr>
          <w:rFonts w:ascii="TitilliumRegular" w:eastAsia="Times New Roman" w:hAnsi="TitilliumRegular" w:cs="Times New Roman"/>
          <w:color w:val="333C4E"/>
          <w:sz w:val="24"/>
          <w:szCs w:val="24"/>
        </w:rPr>
        <w:t>George House Trust is a Registered Charity in England and Wales (reg. no. 1143138) &amp; a Registered Company Limited by Guarantee in England and Wales (reg. no.</w:t>
      </w:r>
      <w:r w:rsidR="000C36E1" w:rsidRPr="00A45D68">
        <w:rPr>
          <w:rFonts w:ascii="TitilliumRegular" w:eastAsia="Times New Roman" w:hAnsi="TitilliumRegular" w:cs="Times New Roman"/>
          <w:color w:val="333C4E"/>
          <w:sz w:val="24"/>
          <w:szCs w:val="24"/>
        </w:rPr>
        <w:t xml:space="preserve"> </w:t>
      </w:r>
      <w:r w:rsidRPr="00A45D68">
        <w:rPr>
          <w:rFonts w:ascii="TitilliumRegular" w:eastAsia="Times New Roman" w:hAnsi="TitilliumRegular" w:cs="Times New Roman"/>
          <w:color w:val="333C4E"/>
          <w:sz w:val="24"/>
          <w:szCs w:val="24"/>
        </w:rPr>
        <w:t xml:space="preserve">07575379) Registered Office 75-77 Ardwick Green North, Manchester M12 6FX. </w:t>
      </w:r>
    </w:p>
    <w:sectPr w:rsidR="00BF4B21" w:rsidRPr="00A45D68" w:rsidSect="007233A6">
      <w:headerReference w:type="even" r:id="rId8"/>
      <w:headerReference w:type="default" r:id="rId9"/>
      <w:headerReference w:type="first" r:id="rId10"/>
      <w:pgSz w:w="11906" w:h="16838"/>
      <w:pgMar w:top="1985" w:right="1127" w:bottom="1754" w:left="108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C15" w:rsidRDefault="00B95C15">
      <w:pPr>
        <w:spacing w:after="0" w:line="240" w:lineRule="auto"/>
      </w:pPr>
      <w:r>
        <w:separator/>
      </w:r>
    </w:p>
  </w:endnote>
  <w:endnote w:type="continuationSeparator" w:id="0">
    <w:p w:rsidR="00B95C15" w:rsidRDefault="00B9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C15" w:rsidRDefault="00B95C15">
      <w:pPr>
        <w:spacing w:after="0" w:line="240" w:lineRule="auto"/>
      </w:pPr>
      <w:r>
        <w:separator/>
      </w:r>
    </w:p>
  </w:footnote>
  <w:footnote w:type="continuationSeparator" w:id="0">
    <w:p w:rsidR="00B95C15" w:rsidRDefault="00B9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21" w:rsidRDefault="00FC7CA0">
    <w:pPr>
      <w:spacing w:after="0" w:line="259" w:lineRule="auto"/>
      <w:ind w:left="0" w:right="-127" w:firstLine="0"/>
      <w:jc w:val="right"/>
    </w:pPr>
    <w:r>
      <w:rPr>
        <w:noProof/>
      </w:rPr>
      <w:drawing>
        <wp:anchor distT="0" distB="0" distL="114300" distR="114300" simplePos="0" relativeHeight="251658240" behindDoc="0" locked="0" layoutInCell="1" allowOverlap="0">
          <wp:simplePos x="0" y="0"/>
          <wp:positionH relativeFrom="page">
            <wp:posOffset>4445635</wp:posOffset>
          </wp:positionH>
          <wp:positionV relativeFrom="page">
            <wp:posOffset>450215</wp:posOffset>
          </wp:positionV>
          <wp:extent cx="2427478" cy="71882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27478" cy="718820"/>
                  </a:xfrm>
                  <a:prstGeom prst="rect">
                    <a:avLst/>
                  </a:prstGeom>
                </pic:spPr>
              </pic:pic>
            </a:graphicData>
          </a:graphic>
        </wp:anchor>
      </w:drawing>
    </w:r>
    <w:r>
      <w:t xml:space="preserve"> </w:t>
    </w:r>
  </w:p>
  <w:p w:rsidR="00BF4B21" w:rsidRDefault="00FC7CA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21" w:rsidRDefault="00FC7CA0">
    <w:pPr>
      <w:spacing w:after="0" w:line="259" w:lineRule="auto"/>
      <w:ind w:left="0" w:right="-127" w:firstLine="0"/>
      <w:jc w:val="right"/>
    </w:pPr>
    <w:r>
      <w:rPr>
        <w:noProof/>
      </w:rPr>
      <w:drawing>
        <wp:anchor distT="0" distB="0" distL="114300" distR="114300" simplePos="0" relativeHeight="251659264" behindDoc="0" locked="0" layoutInCell="1" allowOverlap="0">
          <wp:simplePos x="0" y="0"/>
          <wp:positionH relativeFrom="page">
            <wp:posOffset>4445635</wp:posOffset>
          </wp:positionH>
          <wp:positionV relativeFrom="page">
            <wp:posOffset>450215</wp:posOffset>
          </wp:positionV>
          <wp:extent cx="2427478" cy="718820"/>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27478" cy="718820"/>
                  </a:xfrm>
                  <a:prstGeom prst="rect">
                    <a:avLst/>
                  </a:prstGeom>
                </pic:spPr>
              </pic:pic>
            </a:graphicData>
          </a:graphic>
        </wp:anchor>
      </w:drawing>
    </w:r>
    <w:r>
      <w:t xml:space="preserve"> </w:t>
    </w:r>
  </w:p>
  <w:p w:rsidR="00BF4B21" w:rsidRDefault="00FC7CA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21" w:rsidRDefault="00FC7CA0">
    <w:pPr>
      <w:spacing w:after="0" w:line="259" w:lineRule="auto"/>
      <w:ind w:left="0" w:right="-127" w:firstLine="0"/>
      <w:jc w:val="right"/>
    </w:pPr>
    <w:r>
      <w:rPr>
        <w:noProof/>
      </w:rPr>
      <w:drawing>
        <wp:anchor distT="0" distB="0" distL="114300" distR="114300" simplePos="0" relativeHeight="251660288" behindDoc="0" locked="0" layoutInCell="1" allowOverlap="0">
          <wp:simplePos x="0" y="0"/>
          <wp:positionH relativeFrom="page">
            <wp:posOffset>4445635</wp:posOffset>
          </wp:positionH>
          <wp:positionV relativeFrom="page">
            <wp:posOffset>450215</wp:posOffset>
          </wp:positionV>
          <wp:extent cx="2427478" cy="71882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27478" cy="718820"/>
                  </a:xfrm>
                  <a:prstGeom prst="rect">
                    <a:avLst/>
                  </a:prstGeom>
                </pic:spPr>
              </pic:pic>
            </a:graphicData>
          </a:graphic>
        </wp:anchor>
      </w:drawing>
    </w:r>
    <w:r>
      <w:t xml:space="preserve"> </w:t>
    </w:r>
  </w:p>
  <w:p w:rsidR="00BF4B21" w:rsidRDefault="00FC7CA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0FCE"/>
    <w:multiLevelType w:val="hybridMultilevel"/>
    <w:tmpl w:val="2026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B6C8A"/>
    <w:multiLevelType w:val="hybridMultilevel"/>
    <w:tmpl w:val="5AC6BA3A"/>
    <w:lvl w:ilvl="0" w:tplc="EEBC5162">
      <w:start w:val="1"/>
      <w:numFmt w:val="bullet"/>
      <w:lvlText w:val=""/>
      <w:lvlJc w:val="left"/>
      <w:pPr>
        <w:ind w:left="713"/>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8B5E30E4">
      <w:start w:val="1"/>
      <w:numFmt w:val="bullet"/>
      <w:lvlText w:val="o"/>
      <w:lvlJc w:val="left"/>
      <w:pPr>
        <w:ind w:left="143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2" w:tplc="18748464">
      <w:start w:val="1"/>
      <w:numFmt w:val="bullet"/>
      <w:lvlText w:val="▪"/>
      <w:lvlJc w:val="left"/>
      <w:pPr>
        <w:ind w:left="215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3" w:tplc="6F823074">
      <w:start w:val="1"/>
      <w:numFmt w:val="bullet"/>
      <w:lvlText w:val="•"/>
      <w:lvlJc w:val="left"/>
      <w:pPr>
        <w:ind w:left="287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4" w:tplc="27B24FA4">
      <w:start w:val="1"/>
      <w:numFmt w:val="bullet"/>
      <w:lvlText w:val="o"/>
      <w:lvlJc w:val="left"/>
      <w:pPr>
        <w:ind w:left="359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5" w:tplc="B80ACBDE">
      <w:start w:val="1"/>
      <w:numFmt w:val="bullet"/>
      <w:lvlText w:val="▪"/>
      <w:lvlJc w:val="left"/>
      <w:pPr>
        <w:ind w:left="431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6" w:tplc="A184DFC2">
      <w:start w:val="1"/>
      <w:numFmt w:val="bullet"/>
      <w:lvlText w:val="•"/>
      <w:lvlJc w:val="left"/>
      <w:pPr>
        <w:ind w:left="503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7" w:tplc="CC46306E">
      <w:start w:val="1"/>
      <w:numFmt w:val="bullet"/>
      <w:lvlText w:val="o"/>
      <w:lvlJc w:val="left"/>
      <w:pPr>
        <w:ind w:left="575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8" w:tplc="643A7CBA">
      <w:start w:val="1"/>
      <w:numFmt w:val="bullet"/>
      <w:lvlText w:val="▪"/>
      <w:lvlJc w:val="left"/>
      <w:pPr>
        <w:ind w:left="647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0618024C"/>
    <w:multiLevelType w:val="hybridMultilevel"/>
    <w:tmpl w:val="29C4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02811"/>
    <w:multiLevelType w:val="hybridMultilevel"/>
    <w:tmpl w:val="7E8E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71EE6"/>
    <w:multiLevelType w:val="hybridMultilevel"/>
    <w:tmpl w:val="3B162A98"/>
    <w:lvl w:ilvl="0" w:tplc="5216897E">
      <w:start w:val="1"/>
      <w:numFmt w:val="bullet"/>
      <w:lvlText w:val=""/>
      <w:lvlJc w:val="left"/>
      <w:pPr>
        <w:ind w:left="1076"/>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5" w15:restartNumberingAfterBreak="0">
    <w:nsid w:val="23EC407F"/>
    <w:multiLevelType w:val="hybridMultilevel"/>
    <w:tmpl w:val="112E9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455FA3"/>
    <w:multiLevelType w:val="hybridMultilevel"/>
    <w:tmpl w:val="78FCE568"/>
    <w:lvl w:ilvl="0" w:tplc="5216897E">
      <w:start w:val="1"/>
      <w:numFmt w:val="bullet"/>
      <w:lvlText w:val=""/>
      <w:lvlJc w:val="left"/>
      <w:pPr>
        <w:ind w:left="718"/>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0EEAA16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8EE9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70DC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64C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AC4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E67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678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000C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A13394"/>
    <w:multiLevelType w:val="hybridMultilevel"/>
    <w:tmpl w:val="F440FEF0"/>
    <w:lvl w:ilvl="0" w:tplc="EA0096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7AB4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FA23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FC5C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A0C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5A6B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2287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A77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180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1E03B1"/>
    <w:multiLevelType w:val="hybridMultilevel"/>
    <w:tmpl w:val="937C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06490"/>
    <w:multiLevelType w:val="hybridMultilevel"/>
    <w:tmpl w:val="793C630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0" w15:restartNumberingAfterBreak="0">
    <w:nsid w:val="64FB36CD"/>
    <w:multiLevelType w:val="hybridMultilevel"/>
    <w:tmpl w:val="9560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42FFE"/>
    <w:multiLevelType w:val="hybridMultilevel"/>
    <w:tmpl w:val="A81A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3082E"/>
    <w:multiLevelType w:val="hybridMultilevel"/>
    <w:tmpl w:val="E580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02EC3"/>
    <w:multiLevelType w:val="hybridMultilevel"/>
    <w:tmpl w:val="6A1E8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772008"/>
    <w:multiLevelType w:val="hybridMultilevel"/>
    <w:tmpl w:val="118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2423E"/>
    <w:multiLevelType w:val="hybridMultilevel"/>
    <w:tmpl w:val="E8883120"/>
    <w:lvl w:ilvl="0" w:tplc="5216897E">
      <w:start w:val="1"/>
      <w:numFmt w:val="bullet"/>
      <w:lvlText w:val=""/>
      <w:lvlJc w:val="left"/>
      <w:pPr>
        <w:ind w:left="1076"/>
      </w:pPr>
      <w:rPr>
        <w:rFonts w:ascii="Webdings" w:eastAsia="Webdings" w:hAnsi="Webdings" w:cs="Webdings"/>
        <w:b w:val="0"/>
        <w:i w:val="0"/>
        <w:strike w:val="0"/>
        <w:dstrike w:val="0"/>
        <w:color w:val="FF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14"/>
  </w:num>
  <w:num w:numId="7">
    <w:abstractNumId w:val="10"/>
  </w:num>
  <w:num w:numId="8">
    <w:abstractNumId w:val="8"/>
  </w:num>
  <w:num w:numId="9">
    <w:abstractNumId w:val="11"/>
  </w:num>
  <w:num w:numId="10">
    <w:abstractNumId w:val="13"/>
  </w:num>
  <w:num w:numId="11">
    <w:abstractNumId w:val="15"/>
  </w:num>
  <w:num w:numId="12">
    <w:abstractNumId w:val="4"/>
  </w:num>
  <w:num w:numId="13">
    <w:abstractNumId w:val="9"/>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21"/>
    <w:rsid w:val="000C36E1"/>
    <w:rsid w:val="000E2F10"/>
    <w:rsid w:val="0032494B"/>
    <w:rsid w:val="004235DB"/>
    <w:rsid w:val="004877F8"/>
    <w:rsid w:val="00556FCE"/>
    <w:rsid w:val="0067344A"/>
    <w:rsid w:val="007233A6"/>
    <w:rsid w:val="00737F0F"/>
    <w:rsid w:val="0078603A"/>
    <w:rsid w:val="008C253A"/>
    <w:rsid w:val="008D31CB"/>
    <w:rsid w:val="00931169"/>
    <w:rsid w:val="00A05808"/>
    <w:rsid w:val="00A45D68"/>
    <w:rsid w:val="00A461ED"/>
    <w:rsid w:val="00B95C15"/>
    <w:rsid w:val="00BD7AD4"/>
    <w:rsid w:val="00BF4B21"/>
    <w:rsid w:val="00DE35EE"/>
    <w:rsid w:val="00F33EC1"/>
    <w:rsid w:val="00FC7CA0"/>
    <w:rsid w:val="00FE0225"/>
    <w:rsid w:val="00FF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C11F"/>
  <w15:docId w15:val="{319E0EAD-EEF4-4FFB-8740-E9B0AD23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2F10"/>
    <w:pPr>
      <w:spacing w:after="160" w:line="259" w:lineRule="auto"/>
      <w:ind w:left="720" w:firstLine="0"/>
      <w:contextualSpacing/>
    </w:pPr>
    <w:rPr>
      <w:rFonts w:eastAsiaTheme="minorHAnsi" w:cstheme="minorBidi"/>
      <w:color w:val="auto"/>
      <w:lang w:eastAsia="en-US"/>
    </w:rPr>
  </w:style>
  <w:style w:type="character" w:styleId="Hyperlink">
    <w:name w:val="Hyperlink"/>
    <w:basedOn w:val="DefaultParagraphFont"/>
    <w:uiPriority w:val="99"/>
    <w:unhideWhenUsed/>
    <w:rsid w:val="00FF0C8A"/>
    <w:rPr>
      <w:color w:val="0563C1" w:themeColor="hyperlink"/>
      <w:u w:val="single"/>
    </w:rPr>
  </w:style>
  <w:style w:type="character" w:styleId="UnresolvedMention">
    <w:name w:val="Unresolved Mention"/>
    <w:basedOn w:val="DefaultParagraphFont"/>
    <w:uiPriority w:val="99"/>
    <w:semiHidden/>
    <w:unhideWhenUsed/>
    <w:rsid w:val="00FF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gh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Hepburn-Foster</dc:creator>
  <cp:keywords/>
  <cp:lastModifiedBy>Anna Hughes</cp:lastModifiedBy>
  <cp:revision>12</cp:revision>
  <cp:lastPrinted>2021-04-22T10:20:00Z</cp:lastPrinted>
  <dcterms:created xsi:type="dcterms:W3CDTF">2021-04-12T09:59:00Z</dcterms:created>
  <dcterms:modified xsi:type="dcterms:W3CDTF">2021-04-26T12:48:00Z</dcterms:modified>
</cp:coreProperties>
</file>